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officedocument.wordprocessingml.document" Extension="docx"/>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bookmarkStart w:colFirst="0" w:colLast="0" w:name="_heading=h.2et92p0" w:id="0"/>
      <w:bookmarkEnd w:id="0"/>
      <w:r w:rsidDel="00000000" w:rsidR="00000000" w:rsidRPr="00000000">
        <w:rPr>
          <w:rFonts w:ascii="Arial" w:cs="Arial" w:eastAsia="Arial" w:hAnsi="Arial"/>
          <w:b w:val="1"/>
          <w:color w:val="000000"/>
          <w:sz w:val="36"/>
          <w:szCs w:val="36"/>
          <w:rtl w:val="0"/>
        </w:rPr>
        <w:t xml:space="preserve">Framework Schedule 7 (Call-Off Award Procedure) </w:t>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5">
      <w:pPr>
        <w:widowControl w:val="1"/>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06">
      <w:pPr>
        <w:widowControl w:val="1"/>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p>
    <w:tbl>
      <w:tblPr>
        <w:tblStyle w:val="Table1"/>
        <w:tblW w:w="900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
        <w:gridCol w:w="6360"/>
        <w:tblGridChange w:id="0">
          <w:tblGrid>
            <w:gridCol w:w="2640"/>
            <w:gridCol w:w="636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“Capability Matrix”</w:t>
            </w:r>
            <w:r w:rsidDel="00000000" w:rsidR="00000000" w:rsidRPr="00000000">
              <w:rPr>
                <w:rFonts w:ascii="Arial" w:cs="Arial" w:eastAsia="Arial" w:hAnsi="Arial"/>
                <w:rtl w:val="0"/>
              </w:rPr>
              <w:t xml:space="preserve">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means the table set out in Annex A.2 below reflecting the specialisms which Suppliers under each Lot have offered as part of their Framework Schedule 2 (Framework Tender).</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“Guidance”</w:t>
            </w:r>
            <w:r w:rsidDel="00000000" w:rsidR="00000000" w:rsidRPr="00000000">
              <w:rPr>
                <w:rFonts w:ascii="Arial" w:cs="Arial" w:eastAsia="Arial" w:hAnsi="Arial"/>
                <w:rtl w:val="0"/>
              </w:rPr>
              <w:t xml:space="preserve">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guidance issued or updated by the CCS from time to time in relation to the use of the Framework Contract.</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B">
            <w:pPr>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“Prospectus”</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C">
            <w:pPr>
              <w:pBdr>
                <w:top w:space="0" w:sz="0" w:val="nil"/>
                <w:left w:space="0" w:sz="0" w:val="nil"/>
                <w:bottom w:space="0" w:sz="0" w:val="nil"/>
                <w:right w:space="0" w:sz="0" w:val="nil"/>
                <w:between w:space="0" w:sz="0" w:val="nil"/>
              </w:pBdr>
              <w:rPr>
                <w:rFonts w:ascii="Arial" w:cs="Arial" w:eastAsia="Arial" w:hAnsi="Arial"/>
                <w:sz w:val="24"/>
                <w:szCs w:val="24"/>
              </w:rPr>
            </w:pPr>
            <w:bookmarkStart w:colFirst="0" w:colLast="0" w:name="_heading=h.26in1rg" w:id="1"/>
            <w:bookmarkEnd w:id="1"/>
            <w:r w:rsidDel="00000000" w:rsidR="00000000" w:rsidRPr="00000000">
              <w:rPr>
                <w:rFonts w:ascii="Arial" w:cs="Arial" w:eastAsia="Arial" w:hAnsi="Arial"/>
                <w:sz w:val="24"/>
                <w:szCs w:val="24"/>
                <w:rtl w:val="0"/>
              </w:rPr>
              <w:t xml:space="preserve">means the written description of the Supplier’s capabilities and Supplier Staff and in the form set out in Annex A of this Framework Schedule 7, as the same may be amended or updated from time to time.</w:t>
            </w:r>
          </w:p>
        </w:tc>
      </w:tr>
    </w:tbl>
    <w:p w:rsidR="00000000" w:rsidDel="00000000" w:rsidP="00000000" w:rsidRDefault="00000000" w:rsidRPr="00000000" w14:paraId="0000000D">
      <w:pPr>
        <w:keepNext w:val="1"/>
        <w:keepLines w:val="1"/>
        <w:spacing w:before="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INTRODUCTION</w:t>
      </w:r>
    </w:p>
    <w:p w:rsidR="00000000" w:rsidDel="00000000" w:rsidP="00000000" w:rsidRDefault="00000000" w:rsidRPr="00000000" w14:paraId="0000000E">
      <w:pPr>
        <w:spacing w:after="120" w:before="12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Information submitted by Suppliers as part of their Framework Tender may be used by CCS and Buyers for the purposes of creating down selects and filters to identify and shortlist capable suppliers.</w:t>
      </w:r>
    </w:p>
    <w:p w:rsidR="00000000" w:rsidDel="00000000" w:rsidP="00000000" w:rsidRDefault="00000000" w:rsidRPr="00000000" w14:paraId="0000000F">
      <w:pPr>
        <w:spacing w:after="120" w:before="12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During the Contract Period CCS may:</w:t>
      </w:r>
    </w:p>
    <w:p w:rsidR="00000000" w:rsidDel="00000000" w:rsidP="00000000" w:rsidRDefault="00000000" w:rsidRPr="00000000" w14:paraId="00000010">
      <w:pPr>
        <w:spacing w:after="120" w:before="120" w:lineRule="auto"/>
        <w:ind w:left="1134"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B.1 </w:t>
        <w:tab/>
        <w:t xml:space="preserve">change the URL it uses for the Platform;</w:t>
      </w:r>
    </w:p>
    <w:p w:rsidR="00000000" w:rsidDel="00000000" w:rsidP="00000000" w:rsidRDefault="00000000" w:rsidRPr="00000000" w14:paraId="00000011">
      <w:pPr>
        <w:spacing w:after="120" w:before="120" w:lineRule="auto"/>
        <w:ind w:left="1134" w:hanging="567"/>
        <w:rPr>
          <w:rFonts w:ascii="Arial" w:cs="Arial" w:eastAsia="Arial" w:hAnsi="Arial"/>
          <w:sz w:val="24"/>
          <w:szCs w:val="24"/>
        </w:rPr>
      </w:pPr>
      <w:bookmarkStart w:colFirst="0" w:colLast="0" w:name="_heading=h.3znysh7" w:id="2"/>
      <w:bookmarkEnd w:id="2"/>
      <w:r w:rsidDel="00000000" w:rsidR="00000000" w:rsidRPr="00000000">
        <w:rPr>
          <w:rFonts w:ascii="Arial" w:cs="Arial" w:eastAsia="Arial" w:hAnsi="Arial"/>
          <w:sz w:val="24"/>
          <w:szCs w:val="24"/>
          <w:rtl w:val="0"/>
        </w:rPr>
        <w:t xml:space="preserve">B.2</w:t>
        <w:tab/>
        <w:t xml:space="preserve">incorporate information from the Supplier’s Framework Tender within the Platform;</w:t>
      </w:r>
    </w:p>
    <w:p w:rsidR="00000000" w:rsidDel="00000000" w:rsidP="00000000" w:rsidRDefault="00000000" w:rsidRPr="00000000" w14:paraId="00000012">
      <w:pPr>
        <w:spacing w:after="120" w:before="120" w:lineRule="auto"/>
        <w:ind w:left="1134"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B.3</w:t>
        <w:tab/>
        <w:t xml:space="preserve">create down selects and filters for shortlisting suppliers which will then be made available to Buyers to use under this Schedule if they wish to; and</w:t>
      </w:r>
    </w:p>
    <w:p w:rsidR="00000000" w:rsidDel="00000000" w:rsidP="00000000" w:rsidRDefault="00000000" w:rsidRPr="00000000" w14:paraId="00000013">
      <w:pPr>
        <w:spacing w:after="120" w:before="120" w:lineRule="auto"/>
        <w:ind w:left="1134"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B.4</w:t>
        <w:tab/>
        <w:t xml:space="preserve">review and amend any down selects and/or filters for shortlisting it creates.</w:t>
      </w:r>
    </w:p>
    <w:p w:rsidR="00000000" w:rsidDel="00000000" w:rsidP="00000000" w:rsidRDefault="00000000" w:rsidRPr="00000000" w14:paraId="00000014">
      <w:pPr>
        <w:spacing w:after="120" w:before="120" w:lineRule="auto"/>
        <w:ind w:left="567" w:hanging="567"/>
        <w:rPr>
          <w:rFonts w:ascii="Arial" w:cs="Arial" w:eastAsia="Arial" w:hAnsi="Arial"/>
          <w:sz w:val="24"/>
          <w:szCs w:val="24"/>
          <w:u w:val="single"/>
        </w:rPr>
      </w:pPr>
      <w:r w:rsidDel="00000000" w:rsidR="00000000" w:rsidRPr="00000000">
        <w:rPr>
          <w:rFonts w:ascii="Arial" w:cs="Arial" w:eastAsia="Arial" w:hAnsi="Arial"/>
          <w:sz w:val="24"/>
          <w:szCs w:val="24"/>
          <w:rtl w:val="0"/>
        </w:rPr>
        <w:t xml:space="preserve">C.</w:t>
        <w:tab/>
      </w:r>
      <w:r w:rsidDel="00000000" w:rsidR="00000000" w:rsidRPr="00000000">
        <w:rPr>
          <w:rFonts w:ascii="Arial" w:cs="Arial" w:eastAsia="Arial" w:hAnsi="Arial"/>
          <w:sz w:val="24"/>
          <w:szCs w:val="24"/>
          <w:u w:val="single"/>
          <w:rtl w:val="0"/>
        </w:rPr>
        <w:t xml:space="preserve">Buyer Registration Process </w:t>
      </w:r>
    </w:p>
    <w:p w:rsidR="00000000" w:rsidDel="00000000" w:rsidP="00000000" w:rsidRDefault="00000000" w:rsidRPr="00000000" w14:paraId="00000015">
      <w:pPr>
        <w:ind w:left="567" w:firstLine="11.000000000000014"/>
        <w:rPr>
          <w:rFonts w:ascii="Arial" w:cs="Arial" w:eastAsia="Arial" w:hAnsi="Arial"/>
          <w:sz w:val="26"/>
          <w:szCs w:val="26"/>
        </w:rPr>
      </w:pPr>
      <w:r w:rsidDel="00000000" w:rsidR="00000000" w:rsidRPr="00000000">
        <w:rPr>
          <w:rFonts w:ascii="Arial" w:cs="Arial" w:eastAsia="Arial" w:hAnsi="Arial"/>
          <w:sz w:val="24"/>
          <w:szCs w:val="24"/>
          <w:rtl w:val="0"/>
        </w:rPr>
        <w:t xml:space="preserve">A Buyer may be required or elect to undertake a Buyer Registration Procedure to assist or support them to undertake their Call-Off Procedure and/or to award the Call-Off Contract and/or to manage the Contract for the Contract Period. </w:t>
      </w:r>
      <w:r w:rsidDel="00000000" w:rsidR="00000000" w:rsidRPr="00000000">
        <w:rPr>
          <w:rtl w:val="0"/>
        </w:rPr>
      </w:r>
    </w:p>
    <w:p w:rsidR="00000000" w:rsidDel="00000000" w:rsidP="00000000" w:rsidRDefault="00000000" w:rsidRPr="00000000" w14:paraId="00000016">
      <w:pPr>
        <w:spacing w:after="120" w:before="120" w:lineRule="auto"/>
        <w:ind w:left="566" w:hanging="566"/>
        <w:rPr>
          <w:rFonts w:ascii="Arial" w:cs="Arial" w:eastAsia="Arial" w:hAnsi="Arial"/>
          <w:sz w:val="24"/>
          <w:szCs w:val="24"/>
          <w:u w:val="single"/>
        </w:rPr>
      </w:pPr>
      <w:r w:rsidDel="00000000" w:rsidR="00000000" w:rsidRPr="00000000">
        <w:rPr>
          <w:rFonts w:ascii="Arial" w:cs="Arial" w:eastAsia="Arial" w:hAnsi="Arial"/>
          <w:sz w:val="24"/>
          <w:szCs w:val="24"/>
          <w:rtl w:val="0"/>
        </w:rPr>
        <w:t xml:space="preserve">D. </w:t>
        <w:tab/>
      </w:r>
      <w:r w:rsidDel="00000000" w:rsidR="00000000" w:rsidRPr="00000000">
        <w:rPr>
          <w:rFonts w:ascii="Arial" w:cs="Arial" w:eastAsia="Arial" w:hAnsi="Arial"/>
          <w:sz w:val="24"/>
          <w:szCs w:val="24"/>
          <w:u w:val="single"/>
          <w:rtl w:val="0"/>
        </w:rPr>
        <w:t xml:space="preserve">Preliminary Market Consultation - RFI Tool</w:t>
      </w:r>
    </w:p>
    <w:p w:rsidR="00000000" w:rsidDel="00000000" w:rsidP="00000000" w:rsidRDefault="00000000" w:rsidRPr="00000000" w14:paraId="00000017">
      <w:pPr>
        <w:spacing w:after="120" w:before="120" w:lineRule="auto"/>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a potential Buyer requires to undertake preliminary market consultation with Suppliers before finishing its Statement of Requirements and/or pursuing a Call-Off Procedure, this preliminary market consultation will be undertaken using the Request for Information (RFI) Tool in the Platform and if this functionality is not available, by email (or other written form of communication), in accordance with the Regulations.</w:t>
      </w:r>
    </w:p>
    <w:p w:rsidR="00000000" w:rsidDel="00000000" w:rsidP="00000000" w:rsidRDefault="00000000" w:rsidRPr="00000000" w14:paraId="00000018">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How a Call-Off Contract is awarded</w:t>
      </w:r>
      <w:r w:rsidDel="00000000" w:rsidR="00000000" w:rsidRPr="00000000">
        <w:rPr>
          <w:rtl w:val="0"/>
        </w:rPr>
      </w:r>
    </w:p>
    <w:p w:rsidR="00000000" w:rsidDel="00000000" w:rsidP="00000000" w:rsidRDefault="00000000" w:rsidRPr="00000000" w14:paraId="00000019">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1A">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bookmarkStart w:colFirst="0" w:colLast="0" w:name="_heading=h.1fob9te" w:id="4"/>
      <w:bookmarkEnd w:id="4"/>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1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1C">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price for the Deliverables, will be calculated in accordance with and no greater than that the Pricing Mechanisms and prices set out in Framework Schedule 3 (Framework Prices); and</w:t>
      </w:r>
    </w:p>
    <w:p w:rsidR="00000000" w:rsidDel="00000000" w:rsidP="00000000" w:rsidRDefault="00000000" w:rsidRPr="00000000" w14:paraId="0000001D">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1F">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20">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w:t>
      </w:r>
    </w:p>
    <w:p w:rsidR="00000000" w:rsidDel="00000000" w:rsidP="00000000" w:rsidRDefault="00000000" w:rsidRPr="00000000" w14:paraId="00000021">
      <w:pPr>
        <w:widowControl w:val="1"/>
        <w:numPr>
          <w:ilvl w:val="2"/>
          <w:numId w:val="3"/>
        </w:numPr>
        <w:pBdr>
          <w:top w:space="0" w:sz="0" w:val="nil"/>
          <w:left w:space="0" w:sz="0" w:val="nil"/>
          <w:bottom w:space="0" w:sz="0" w:val="nil"/>
          <w:right w:space="0" w:sz="0" w:val="nil"/>
          <w:between w:space="0" w:sz="0" w:val="nil"/>
        </w:pBdr>
        <w:tabs>
          <w:tab w:val="left" w:pos="3119"/>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refine its pricing for the Deliverables calculated in accordance with and no greater than the Pricing Mechanisms and prices set out in Framework Schedule 3 (Framework Prices); and/or</w:t>
      </w:r>
    </w:p>
    <w:p w:rsidR="00000000" w:rsidDel="00000000" w:rsidP="00000000" w:rsidRDefault="00000000" w:rsidRPr="00000000" w14:paraId="00000022">
      <w:pPr>
        <w:widowControl w:val="1"/>
        <w:numPr>
          <w:ilvl w:val="2"/>
          <w:numId w:val="3"/>
        </w:numPr>
        <w:pBdr>
          <w:top w:space="0" w:sz="0" w:val="nil"/>
          <w:left w:space="0" w:sz="0" w:val="nil"/>
          <w:bottom w:space="0" w:sz="0" w:val="nil"/>
          <w:right w:space="0" w:sz="0" w:val="nil"/>
          <w:between w:space="0" w:sz="0" w:val="nil"/>
        </w:pBdr>
        <w:tabs>
          <w:tab w:val="left" w:pos="3119"/>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24">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How a direct award works</w:t>
      </w:r>
      <w:r w:rsidDel="00000000" w:rsidR="00000000" w:rsidRPr="00000000">
        <w:rPr>
          <w:rtl w:val="0"/>
        </w:rPr>
      </w:r>
    </w:p>
    <w:p w:rsidR="00000000" w:rsidDel="00000000" w:rsidP="00000000" w:rsidRDefault="00000000" w:rsidRPr="00000000" w14:paraId="0000002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26">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27">
      <w:pPr>
        <w:widowControl w:val="1"/>
        <w:numPr>
          <w:ilvl w:val="2"/>
          <w:numId w:val="3"/>
        </w:numPr>
        <w:tabs>
          <w:tab w:val="left" w:pos="3119"/>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sz w:val="24"/>
          <w:szCs w:val="24"/>
          <w:rtl w:val="0"/>
        </w:rPr>
        <w:t xml:space="preserve">review the Capability Matrix to determine which Suppliers are capable of delivering the Statement of Requirements, then issue a request for information to those suppliers to ascertain (a) whether it has capacity to undertake this Call-Off Contract, and./or (b) whether it has any actual or potential Conflict of Interest that the Buyer needs to be aware of, and based on the supplier’s response, the Buyer may exclude that supplier from further consideration;</w:t>
      </w:r>
      <w:r w:rsidDel="00000000" w:rsidR="00000000" w:rsidRPr="00000000">
        <w:rPr>
          <w:rtl w:val="0"/>
        </w:rPr>
      </w:r>
    </w:p>
    <w:p w:rsidR="00000000" w:rsidDel="00000000" w:rsidP="00000000" w:rsidRDefault="00000000" w:rsidRPr="00000000" w14:paraId="00000028">
      <w:pPr>
        <w:widowControl w:val="1"/>
        <w:numPr>
          <w:ilvl w:val="2"/>
          <w:numId w:val="3"/>
        </w:numPr>
        <w:tabs>
          <w:tab w:val="left" w:pos="3119"/>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sz w:val="24"/>
          <w:szCs w:val="24"/>
          <w:rtl w:val="0"/>
        </w:rPr>
        <w:t xml:space="preserve">apply the direct award criteria, except in relation to those suppliers excluded under Paragraph 2.1.2, to the Suppliers’ Prospectus’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29">
      <w:pPr>
        <w:widowControl w:val="1"/>
        <w:numPr>
          <w:ilvl w:val="2"/>
          <w:numId w:val="3"/>
        </w:numPr>
        <w:pBdr>
          <w:top w:space="0" w:sz="0" w:val="nil"/>
          <w:left w:space="0" w:sz="0" w:val="nil"/>
          <w:bottom w:space="0" w:sz="0" w:val="nil"/>
          <w:right w:space="0" w:sz="0" w:val="nil"/>
          <w:between w:space="0" w:sz="0" w:val="nil"/>
        </w:pBdr>
        <w:tabs>
          <w:tab w:val="left" w:pos="3119"/>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2A">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w:cs="Arial" w:eastAsia="Arial" w:hAnsi="Arial"/>
          <w:b w:val="1"/>
          <w:color w:val="000000"/>
          <w:sz w:val="24"/>
          <w:szCs w:val="24"/>
          <w:rtl w:val="0"/>
        </w:rPr>
        <w:t xml:space="preserve">How a further competition works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2B">
      <w:pPr>
        <w:keepNext w:val="1"/>
        <w:widowControl w:val="1"/>
        <w:numPr>
          <w:ilvl w:val="1"/>
          <w:numId w:val="3"/>
        </w:numPr>
        <w:pBdr>
          <w:top w:space="0" w:sz="0" w:val="nil"/>
          <w:left w:space="0" w:sz="0" w:val="nil"/>
          <w:bottom w:space="0" w:sz="0" w:val="nil"/>
          <w:right w:space="0" w:sz="0" w:val="nil"/>
          <w:between w:space="0" w:sz="0" w:val="nil"/>
        </w:pBdr>
        <w:tabs>
          <w:tab w:val="left" w:pos="142"/>
        </w:tabs>
        <w:spacing w:after="240" w:before="120" w:lineRule="auto"/>
        <w:ind w:left="1286" w:hanging="566"/>
        <w:rPr>
          <w:rFonts w:ascii="Arial" w:cs="Arial" w:eastAsia="Arial" w:hAnsi="Arial"/>
          <w:b w:val="1"/>
          <w:sz w:val="24"/>
          <w:szCs w:val="24"/>
        </w:rPr>
      </w:pPr>
      <w:r w:rsidDel="00000000" w:rsidR="00000000" w:rsidRPr="00000000">
        <w:rPr>
          <w:rFonts w:ascii="Arial" w:cs="Arial" w:eastAsia="Arial" w:hAnsi="Arial"/>
          <w:color w:val="000000"/>
          <w:sz w:val="24"/>
          <w:szCs w:val="24"/>
          <w:rtl w:val="0"/>
        </w:rPr>
        <w:t xml:space="preserve">Subject to Paragraph 1.3, if applicable, the Buyer may use one or more of the following procedures to shortlist Suppliers before entering into a Further Competition Procedure:</w:t>
      </w:r>
      <w:r w:rsidDel="00000000" w:rsidR="00000000" w:rsidRPr="00000000">
        <w:rPr>
          <w:rtl w:val="0"/>
        </w:rPr>
      </w:r>
    </w:p>
    <w:p w:rsidR="00000000" w:rsidDel="00000000" w:rsidP="00000000" w:rsidRDefault="00000000" w:rsidRPr="00000000" w14:paraId="0000002C">
      <w:pPr>
        <w:keepNext w:val="1"/>
        <w:widowControl w:val="1"/>
        <w:tabs>
          <w:tab w:val="left" w:pos="3054"/>
        </w:tabs>
        <w:spacing w:after="280" w:before="120" w:line="256"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3.1.1   </w:t>
      </w:r>
      <w:r w:rsidDel="00000000" w:rsidR="00000000" w:rsidRPr="00000000">
        <w:rPr>
          <w:rFonts w:ascii="Arial" w:cs="Arial" w:eastAsia="Arial" w:hAnsi="Arial"/>
          <w:color w:val="000000"/>
          <w:sz w:val="24"/>
          <w:szCs w:val="24"/>
          <w:u w:val="single"/>
          <w:rtl w:val="0"/>
        </w:rPr>
        <w:t xml:space="preserve">Capability Matrix</w:t>
      </w:r>
      <w:r w:rsidDel="00000000" w:rsidR="00000000" w:rsidRPr="00000000">
        <w:rPr>
          <w:rFonts w:ascii="Arial" w:cs="Arial" w:eastAsia="Arial" w:hAnsi="Arial"/>
          <w:color w:val="000000"/>
          <w:sz w:val="24"/>
          <w:szCs w:val="24"/>
          <w:rtl w:val="0"/>
        </w:rPr>
        <w:t xml:space="preserve"> – The Buyer will produce a supplier shortlist based on the information contained in the Capability Matrix and the suppliers’ Prospectus(es).</w:t>
      </w:r>
    </w:p>
    <w:p w:rsidR="00000000" w:rsidDel="00000000" w:rsidP="00000000" w:rsidRDefault="00000000" w:rsidRPr="00000000" w14:paraId="0000002D">
      <w:pPr>
        <w:keepNext w:val="1"/>
        <w:widowControl w:val="1"/>
        <w:tabs>
          <w:tab w:val="left" w:pos="3054"/>
        </w:tabs>
        <w:spacing w:after="280" w:before="120" w:line="256"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3.1.2   </w:t>
      </w:r>
      <w:r w:rsidDel="00000000" w:rsidR="00000000" w:rsidRPr="00000000">
        <w:rPr>
          <w:rFonts w:ascii="Arial" w:cs="Arial" w:eastAsia="Arial" w:hAnsi="Arial"/>
          <w:color w:val="000000"/>
          <w:sz w:val="24"/>
          <w:szCs w:val="24"/>
          <w:u w:val="single"/>
          <w:rtl w:val="0"/>
        </w:rPr>
        <w:t xml:space="preserve">Expression Of Interest (EOI)</w:t>
      </w:r>
      <w:r w:rsidDel="00000000" w:rsidR="00000000" w:rsidRPr="00000000">
        <w:rPr>
          <w:rFonts w:ascii="Arial" w:cs="Arial" w:eastAsia="Arial" w:hAnsi="Arial"/>
          <w:color w:val="000000"/>
          <w:sz w:val="24"/>
          <w:szCs w:val="24"/>
          <w:rtl w:val="0"/>
        </w:rPr>
        <w:t xml:space="preserve"> – The Buyer may use an EOI process to produce a Supplier shortlist. The EOI may contain the following details but is not limited to: scope, scale, timescales, incumbent supplier, grades, payment terms, capacity and/or budget.</w:t>
      </w:r>
    </w:p>
    <w:p w:rsidR="00000000" w:rsidDel="00000000" w:rsidP="00000000" w:rsidRDefault="00000000" w:rsidRPr="00000000" w14:paraId="0000002E">
      <w:pPr>
        <w:keepNext w:val="1"/>
        <w:widowControl w:val="1"/>
        <w:tabs>
          <w:tab w:val="left" w:pos="3054"/>
        </w:tabs>
        <w:spacing w:after="280" w:before="120" w:line="256"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3.1.3   </w:t>
      </w:r>
      <w:r w:rsidDel="00000000" w:rsidR="00000000" w:rsidRPr="00000000">
        <w:rPr>
          <w:rFonts w:ascii="Arial" w:cs="Arial" w:eastAsia="Arial" w:hAnsi="Arial"/>
          <w:color w:val="000000"/>
          <w:sz w:val="24"/>
          <w:szCs w:val="24"/>
          <w:u w:val="single"/>
          <w:rtl w:val="0"/>
        </w:rPr>
        <w:t xml:space="preserve">Capability Matrix and Expression of Interest</w:t>
      </w:r>
      <w:r w:rsidDel="00000000" w:rsidR="00000000" w:rsidRPr="00000000">
        <w:rPr>
          <w:rFonts w:ascii="Arial" w:cs="Arial" w:eastAsia="Arial" w:hAnsi="Arial"/>
          <w:color w:val="000000"/>
          <w:sz w:val="24"/>
          <w:szCs w:val="24"/>
          <w:rtl w:val="0"/>
        </w:rPr>
        <w:t xml:space="preserve"> – The Buyer may use both of the procedures detailed in Paragraph 3.1.2 and 3.1.3.</w:t>
      </w:r>
    </w:p>
    <w:p w:rsidR="00000000" w:rsidDel="00000000" w:rsidP="00000000" w:rsidRDefault="00000000" w:rsidRPr="00000000" w14:paraId="0000002F">
      <w:pPr>
        <w:keepNext w:val="1"/>
        <w:widowControl w:val="1"/>
        <w:tabs>
          <w:tab w:val="left" w:pos="3054"/>
        </w:tabs>
        <w:spacing w:after="280" w:before="120" w:line="256" w:lineRule="auto"/>
        <w:ind w:left="2607"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3.1.4   </w:t>
      </w:r>
      <w:r w:rsidDel="00000000" w:rsidR="00000000" w:rsidRPr="00000000">
        <w:rPr>
          <w:rFonts w:ascii="Arial" w:cs="Arial" w:eastAsia="Arial" w:hAnsi="Arial"/>
          <w:color w:val="000000"/>
          <w:sz w:val="24"/>
          <w:szCs w:val="24"/>
          <w:u w:val="single"/>
          <w:rtl w:val="0"/>
        </w:rPr>
        <w:t xml:space="preserve">Conference call</w:t>
      </w:r>
      <w:r w:rsidDel="00000000" w:rsidR="00000000" w:rsidRPr="00000000">
        <w:rPr>
          <w:rFonts w:ascii="Arial" w:cs="Arial" w:eastAsia="Arial" w:hAnsi="Arial"/>
          <w:color w:val="000000"/>
          <w:sz w:val="24"/>
          <w:szCs w:val="24"/>
          <w:rtl w:val="0"/>
        </w:rPr>
        <w:t xml:space="preserve"> – The Buyer may use this after the EOI. The Buyer will provide further information on its requirement and Suppliers may have the opportunity to raise queries.</w:t>
      </w:r>
      <w:r w:rsidDel="00000000" w:rsidR="00000000" w:rsidRPr="00000000">
        <w:rPr>
          <w:rtl w:val="0"/>
        </w:rPr>
      </w:r>
    </w:p>
    <w:p w:rsidR="00000000" w:rsidDel="00000000" w:rsidP="00000000" w:rsidRDefault="00000000" w:rsidRPr="00000000" w14:paraId="00000030">
      <w:pPr>
        <w:keepNext w:val="1"/>
        <w:keepLines w:val="1"/>
        <w:widowControl w:val="1"/>
        <w:tabs>
          <w:tab w:val="left" w:pos="3054"/>
        </w:tabs>
        <w:spacing w:after="280" w:before="120" w:line="256"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3.2 </w:t>
        <w:tab/>
        <w:t xml:space="preserve">Suppliers can deselect themselves throughout the process after the EOI and/or conference call</w:t>
      </w:r>
      <w:r w:rsidDel="00000000" w:rsidR="00000000" w:rsidRPr="00000000">
        <w:rPr>
          <w:rFonts w:ascii="Arial" w:cs="Arial" w:eastAsia="Arial" w:hAnsi="Arial"/>
          <w:sz w:val="24"/>
          <w:szCs w:val="24"/>
          <w:rtl w:val="0"/>
        </w:rPr>
        <w:t xml:space="preserve"> or where they have otherwise been notified by the Buyer that they have been shortlisted under Paragraph 3.1 above.</w:t>
      </w:r>
      <w:r w:rsidDel="00000000" w:rsidR="00000000" w:rsidRPr="00000000">
        <w:rPr>
          <w:rtl w:val="0"/>
        </w:rPr>
      </w:r>
    </w:p>
    <w:p w:rsidR="00000000" w:rsidDel="00000000" w:rsidP="00000000" w:rsidRDefault="00000000" w:rsidRPr="00000000" w14:paraId="00000031">
      <w:pPr>
        <w:keepNext w:val="1"/>
        <w:widowControl w:val="1"/>
        <w:tabs>
          <w:tab w:val="left" w:pos="3054"/>
        </w:tabs>
        <w:spacing w:after="280" w:before="120" w:line="256" w:lineRule="auto"/>
        <w:ind w:left="1286"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3.3</w:t>
        <w:tab/>
        <w:t xml:space="preserve">If the Supplier does not respond to the EOI in accordance with any stated timescales they will not be invited to participate in the Further Competition Procedure.</w:t>
      </w:r>
    </w:p>
    <w:p w:rsidR="00000000" w:rsidDel="00000000" w:rsidP="00000000" w:rsidRDefault="00000000" w:rsidRPr="00000000" w14:paraId="00000032">
      <w:pPr>
        <w:keepNext w:val="1"/>
        <w:widowControl w:val="1"/>
        <w:tabs>
          <w:tab w:val="left" w:pos="3054"/>
        </w:tabs>
        <w:spacing w:after="280" w:before="120" w:line="256" w:lineRule="auto"/>
        <w:ind w:left="1286"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 </w:t>
        <w:tab/>
        <w:t xml:space="preserve">If the Supplier is invited to the conference call and they do not attend, they may not be invited to participate in the Further Competition Procedure.</w:t>
      </w:r>
    </w:p>
    <w:p w:rsidR="00000000" w:rsidDel="00000000" w:rsidP="00000000" w:rsidRDefault="00000000" w:rsidRPr="00000000" w14:paraId="00000033">
      <w:pPr>
        <w:keepNext w:val="1"/>
        <w:widowControl w:val="1"/>
        <w:tabs>
          <w:tab w:val="left" w:pos="3054"/>
        </w:tabs>
        <w:spacing w:after="280" w:before="120" w:line="256" w:lineRule="auto"/>
        <w:ind w:left="1286"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w:t>
        <w:tab/>
        <w:t xml:space="preserve">CCS reserves the right to add or change the Capability Matrix throughout the Contract Period of the Framework Contract.</w:t>
      </w:r>
    </w:p>
    <w:p w:rsidR="00000000" w:rsidDel="00000000" w:rsidP="00000000" w:rsidRDefault="00000000" w:rsidRPr="00000000" w14:paraId="00000034">
      <w:pPr>
        <w:keepNext w:val="1"/>
        <w:widowControl w:val="1"/>
        <w:tabs>
          <w:tab w:val="left" w:pos="3054"/>
        </w:tabs>
        <w:spacing w:after="280" w:before="120" w:line="256" w:lineRule="auto"/>
        <w:ind w:left="1286" w:hanging="566"/>
        <w:jc w:val="both"/>
        <w:rPr>
          <w:rFonts w:ascii="Arial" w:cs="Arial" w:eastAsia="Arial" w:hAnsi="Arial"/>
        </w:rPr>
      </w:pPr>
      <w:r w:rsidDel="00000000" w:rsidR="00000000" w:rsidRPr="00000000">
        <w:rPr>
          <w:rFonts w:ascii="Arial" w:cs="Arial" w:eastAsia="Arial" w:hAnsi="Arial"/>
          <w:color w:val="000000"/>
          <w:sz w:val="24"/>
          <w:szCs w:val="24"/>
          <w:rtl w:val="0"/>
        </w:rPr>
        <w:t xml:space="preserve">3.6</w:t>
        <w:tab/>
        <w:t xml:space="preserve">The Supplier may update their Capability Matrix during the Contract Period of the Framework Contract.</w:t>
      </w:r>
      <w:r w:rsidDel="00000000" w:rsidR="00000000" w:rsidRPr="00000000">
        <w:rPr>
          <w:rtl w:val="0"/>
        </w:rPr>
      </w:r>
    </w:p>
    <w:p w:rsidR="00000000" w:rsidDel="00000000" w:rsidP="00000000" w:rsidRDefault="00000000" w:rsidRPr="00000000" w14:paraId="00000035">
      <w:pPr>
        <w:keepNext w:val="1"/>
        <w:widowControl w:val="1"/>
        <w:tabs>
          <w:tab w:val="left" w:pos="3054"/>
        </w:tabs>
        <w:spacing w:after="280" w:before="120" w:line="256" w:lineRule="auto"/>
        <w:ind w:left="1286"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36">
      <w:pPr>
        <w:keepNext w:val="1"/>
        <w:widowControl w:val="1"/>
        <w:tabs>
          <w:tab w:val="left" w:pos="3054"/>
        </w:tabs>
        <w:spacing w:after="280" w:before="120" w:line="256" w:lineRule="auto"/>
        <w:ind w:left="1286" w:hanging="566"/>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keepNext w:val="1"/>
        <w:widowControl w:val="1"/>
        <w:tabs>
          <w:tab w:val="left" w:pos="3054"/>
        </w:tabs>
        <w:spacing w:after="280" w:before="120" w:line="256" w:lineRule="auto"/>
        <w:ind w:left="1286" w:hanging="56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38">
      <w:pPr>
        <w:keepNext w:val="1"/>
        <w:widowControl w:val="1"/>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3.7 </w:t>
        <w:tab/>
        <w:t xml:space="preserve">The Buyer awarding a Call-Off Contract under this Contract through a Further Competition Procedure shall:</w:t>
      </w:r>
    </w:p>
    <w:p w:rsidR="00000000" w:rsidDel="00000000" w:rsidP="00000000" w:rsidRDefault="00000000" w:rsidRPr="00000000" w14:paraId="00000039">
      <w:pPr>
        <w:keepNext w:val="1"/>
        <w:widowControl w:val="1"/>
        <w:tabs>
          <w:tab w:val="left" w:pos="3054"/>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3.7.1   develop a Statement of Requirements setting out its requirements for the Deliverables and identify the Suppliers capable of supplying them using the process in Paragraph 3.1 above;</w:t>
      </w:r>
    </w:p>
    <w:p w:rsidR="00000000" w:rsidDel="00000000" w:rsidP="00000000" w:rsidRDefault="00000000" w:rsidRPr="00000000" w14:paraId="0000003A">
      <w:pPr>
        <w:keepNext w:val="1"/>
        <w:widowControl w:val="1"/>
        <w:tabs>
          <w:tab w:val="left" w:pos="3054"/>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3.7.2   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3B">
      <w:pPr>
        <w:keepNext w:val="1"/>
        <w:widowControl w:val="1"/>
        <w:tabs>
          <w:tab w:val="left" w:pos="3054"/>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3.7.3   state the Pricing Mechanism(s) the Buyer seeks to apply to the Deliverables;</w:t>
      </w:r>
    </w:p>
    <w:p w:rsidR="00000000" w:rsidDel="00000000" w:rsidP="00000000" w:rsidRDefault="00000000" w:rsidRPr="00000000" w14:paraId="0000003C">
      <w:pPr>
        <w:keepNext w:val="1"/>
        <w:widowControl w:val="1"/>
        <w:tabs>
          <w:tab w:val="left" w:pos="3969"/>
        </w:tabs>
        <w:spacing w:after="120" w:before="120" w:lineRule="auto"/>
        <w:ind w:left="2607" w:hanging="720"/>
        <w:rPr>
          <w:rFonts w:ascii="Arial" w:cs="Arial" w:eastAsia="Arial" w:hAnsi="Arial"/>
        </w:rPr>
      </w:pPr>
      <w:r w:rsidDel="00000000" w:rsidR="00000000" w:rsidRPr="00000000">
        <w:rPr>
          <w:rFonts w:ascii="Arial" w:cs="Arial" w:eastAsia="Arial" w:hAnsi="Arial"/>
          <w:color w:val="000000"/>
          <w:sz w:val="24"/>
          <w:szCs w:val="24"/>
          <w:rtl w:val="0"/>
        </w:rPr>
        <w:t xml:space="preserve">3.7.4   invite tenders by conducting a Further Competition Procedure for its Deliverables in accordance with the Regulations and in particular:</w:t>
      </w:r>
      <w:r w:rsidDel="00000000" w:rsidR="00000000" w:rsidRPr="00000000">
        <w:rPr>
          <w:rtl w:val="0"/>
        </w:rPr>
      </w:r>
    </w:p>
    <w:p w:rsidR="00000000" w:rsidDel="00000000" w:rsidP="00000000" w:rsidRDefault="00000000" w:rsidRPr="00000000" w14:paraId="0000003D">
      <w:pPr>
        <w:keepNext w:val="1"/>
        <w:keepLines w:val="1"/>
        <w:widowControl w:val="1"/>
        <w:tabs>
          <w:tab w:val="left" w:pos="3402"/>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 </w:t>
      </w:r>
    </w:p>
    <w:p w:rsidR="00000000" w:rsidDel="00000000" w:rsidP="00000000" w:rsidRDefault="00000000" w:rsidRPr="00000000" w14:paraId="0000003E">
      <w:pPr>
        <w:keepNext w:val="1"/>
        <w:widowControl w:val="1"/>
        <w:tabs>
          <w:tab w:val="left" w:pos="3402"/>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if an Electronic Reverse Auction is not used, the Buyer shall:                                                           </w:t>
      </w:r>
    </w:p>
    <w:p w:rsidR="00000000" w:rsidDel="00000000" w:rsidP="00000000" w:rsidRDefault="00000000" w:rsidRPr="00000000" w14:paraId="0000003F">
      <w:pPr>
        <w:keepNext w:val="1"/>
        <w:widowControl w:val="1"/>
        <w:tabs>
          <w:tab w:val="left" w:pos="3686"/>
        </w:tabs>
        <w:spacing w:after="120" w:before="120" w:lineRule="auto"/>
        <w:ind w:left="3686" w:hanging="57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invite the Suppliers identified in accordance with Paragraph 3.1.1 to submit a tender in writing for each proposed Call-Off Contract to be awarded by giving written notice by email to the relevant Supplier Representative of each Supplier;                             </w:t>
      </w:r>
    </w:p>
    <w:p w:rsidR="00000000" w:rsidDel="00000000" w:rsidP="00000000" w:rsidRDefault="00000000" w:rsidRPr="00000000" w14:paraId="00000040">
      <w:pPr>
        <w:keepNext w:val="1"/>
        <w:widowControl w:val="1"/>
        <w:tabs>
          <w:tab w:val="left" w:pos="3686"/>
        </w:tabs>
        <w:spacing w:after="120" w:before="120" w:lineRule="auto"/>
        <w:ind w:left="3686" w:hanging="57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set a time limit for the receipt by it of the tenders which takes into account factors such as the complexity of the subject matter of the proposed Call-Off Contract and the time needed to submit tenders; and </w:t>
      </w:r>
    </w:p>
    <w:p w:rsidR="00000000" w:rsidDel="00000000" w:rsidP="00000000" w:rsidRDefault="00000000" w:rsidRPr="00000000" w14:paraId="00000041">
      <w:pPr>
        <w:keepNext w:val="1"/>
        <w:widowControl w:val="1"/>
        <w:tabs>
          <w:tab w:val="left" w:pos="3686"/>
        </w:tabs>
        <w:spacing w:after="120" w:before="120" w:lineRule="auto"/>
        <w:ind w:left="3686" w:hanging="57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keep each tender confidential until the time limit set out for the return of tenders has expired</w:t>
      </w:r>
    </w:p>
    <w:p w:rsidR="00000000" w:rsidDel="00000000" w:rsidP="00000000" w:rsidRDefault="00000000" w:rsidRPr="00000000" w14:paraId="00000042">
      <w:pPr>
        <w:keepNext w:val="1"/>
        <w:widowControl w:val="1"/>
        <w:tabs>
          <w:tab w:val="left" w:pos="3054"/>
        </w:tabs>
        <w:spacing w:after="120" w:before="120" w:lineRule="auto"/>
        <w:ind w:left="255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3.7.5   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43">
      <w:pPr>
        <w:keepNext w:val="1"/>
        <w:widowControl w:val="1"/>
        <w:tabs>
          <w:tab w:val="left" w:pos="3054"/>
        </w:tabs>
        <w:spacing w:after="120" w:before="120" w:lineRule="auto"/>
        <w:ind w:left="255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3.7.6  on the basis set out above, award its Call-Off Contract to the successful Supplier in accordance with Paragraph 6. The Call-Off Contract shall:</w:t>
      </w:r>
    </w:p>
    <w:p w:rsidR="00000000" w:rsidDel="00000000" w:rsidP="00000000" w:rsidRDefault="00000000" w:rsidRPr="00000000" w14:paraId="00000044">
      <w:pPr>
        <w:keepNext w:val="1"/>
        <w:widowControl w:val="1"/>
        <w:tabs>
          <w:tab w:val="left" w:pos="3686"/>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 the Deliverables;</w:t>
      </w:r>
    </w:p>
    <w:p w:rsidR="00000000" w:rsidDel="00000000" w:rsidP="00000000" w:rsidRDefault="00000000" w:rsidRPr="00000000" w14:paraId="00000045">
      <w:pPr>
        <w:keepNext w:val="1"/>
        <w:widowControl w:val="1"/>
        <w:tabs>
          <w:tab w:val="left" w:pos="3686"/>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state the tender submitted by the successful Supplier;</w:t>
      </w:r>
    </w:p>
    <w:p w:rsidR="00000000" w:rsidDel="00000000" w:rsidP="00000000" w:rsidRDefault="00000000" w:rsidRPr="00000000" w14:paraId="00000046">
      <w:pPr>
        <w:keepNext w:val="1"/>
        <w:keepLines w:val="1"/>
        <w:widowControl w:val="1"/>
        <w:tabs>
          <w:tab w:val="left" w:pos="3686"/>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state the Charges payable for the Deliverables in accordance with the tender submitted by the successful Supplier; and</w:t>
      </w:r>
    </w:p>
    <w:p w:rsidR="00000000" w:rsidDel="00000000" w:rsidP="00000000" w:rsidRDefault="00000000" w:rsidRPr="00000000" w14:paraId="00000047">
      <w:pPr>
        <w:keepNext w:val="1"/>
        <w:widowControl w:val="1"/>
        <w:tabs>
          <w:tab w:val="left" w:pos="3686"/>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incorporate the terms of the Order Form and Contract (as may be amended or refined by the Buyer in accordance with Paragraph 3.1.2. above) applicable to the Deliverables,</w:t>
      </w:r>
    </w:p>
    <w:p w:rsidR="00000000" w:rsidDel="00000000" w:rsidP="00000000" w:rsidRDefault="00000000" w:rsidRPr="00000000" w14:paraId="00000048">
      <w:pPr>
        <w:keepNext w:val="1"/>
        <w:widowControl w:val="1"/>
        <w:tabs>
          <w:tab w:val="left" w:pos="3054"/>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3.7.7   provide unsuccessful Suppliers with written feedback in relation to the reasons why their tenders were unsuccessful within 30 days of the Call-Off Contract being awarded.</w:t>
      </w:r>
    </w:p>
    <w:p w:rsidR="00000000" w:rsidDel="00000000" w:rsidP="00000000" w:rsidRDefault="00000000" w:rsidRPr="00000000" w14:paraId="00000049">
      <w:pPr>
        <w:keepNext w:val="1"/>
        <w:widowControl w:val="1"/>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4A">
      <w:pPr>
        <w:keepNext w:val="1"/>
        <w:widowControl w:val="1"/>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3.8 </w:t>
        <w:tab/>
        <w:t xml:space="preserve">The Supplier shall in writing, by the time and date specified by the Buyer following an invitation to tender pursuant to Paragraph 3.7.3 above, provide the Buyer, with either:</w:t>
      </w:r>
    </w:p>
    <w:p w:rsidR="00000000" w:rsidDel="00000000" w:rsidP="00000000" w:rsidRDefault="00000000" w:rsidRPr="00000000" w14:paraId="0000004B">
      <w:pPr>
        <w:keepNext w:val="1"/>
        <w:widowControl w:val="1"/>
        <w:tabs>
          <w:tab w:val="left" w:pos="3054"/>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3.8.1   a statement to the effect that it does not wish to tender in relation to the Deliverables, including the reasons why; or</w:t>
      </w:r>
    </w:p>
    <w:p w:rsidR="00000000" w:rsidDel="00000000" w:rsidP="00000000" w:rsidRDefault="00000000" w:rsidRPr="00000000" w14:paraId="0000004C">
      <w:pPr>
        <w:keepNext w:val="1"/>
        <w:widowControl w:val="1"/>
        <w:tabs>
          <w:tab w:val="left" w:pos="3054"/>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3.8.2   the full details of its tender, made in respect of the relevant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Statement of Requirements.</w:t>
      </w:r>
    </w:p>
    <w:p w:rsidR="00000000" w:rsidDel="00000000" w:rsidP="00000000" w:rsidRDefault="00000000" w:rsidRPr="00000000" w14:paraId="0000004D">
      <w:pPr>
        <w:keepNext w:val="1"/>
        <w:widowControl w:val="1"/>
        <w:tabs>
          <w:tab w:val="left" w:pos="3054"/>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3.8.3   The Supplier shall ensure that any prices submitted in relation to a Further Competition Procedure held pursuant to this Paragraph 3 shall be based on the prices refined under the applicable Pricing Mechanism and prices that are no greater than those set out in Framework Schedule 3 (Framework Prices).</w:t>
      </w:r>
    </w:p>
    <w:p w:rsidR="00000000" w:rsidDel="00000000" w:rsidP="00000000" w:rsidRDefault="00000000" w:rsidRPr="00000000" w14:paraId="0000004E">
      <w:pPr>
        <w:keepNext w:val="1"/>
        <w:widowControl w:val="1"/>
        <w:tabs>
          <w:tab w:val="left" w:pos="3054"/>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3.8.4   The Supplier agrees that:</w:t>
      </w:r>
    </w:p>
    <w:p w:rsidR="00000000" w:rsidDel="00000000" w:rsidP="00000000" w:rsidRDefault="00000000" w:rsidRPr="00000000" w14:paraId="0000004F">
      <w:pPr>
        <w:keepNext w:val="1"/>
        <w:widowControl w:val="1"/>
        <w:tabs>
          <w:tab w:val="left" w:pos="3054"/>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50">
      <w:pPr>
        <w:keepNext w:val="1"/>
        <w:widowControl w:val="1"/>
        <w:tabs>
          <w:tab w:val="left" w:pos="3054"/>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51">
      <w:pPr>
        <w:keepNext w:val="1"/>
        <w:widowControl w:val="1"/>
        <w:tabs>
          <w:tab w:val="left" w:pos="3828"/>
        </w:tabs>
        <w:spacing w:after="120" w:before="120" w:lineRule="auto"/>
        <w:ind w:left="3685" w:hanging="57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52">
      <w:pPr>
        <w:keepNext w:val="1"/>
        <w:widowControl w:val="1"/>
        <w:tabs>
          <w:tab w:val="left" w:pos="3828"/>
        </w:tabs>
        <w:spacing w:after="120" w:before="120" w:lineRule="auto"/>
        <w:ind w:left="3685" w:hanging="578.000000000000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(ii)     enter into any arrangement or agreement with any other person that he or the other person(s) shall refrain from submitting a tender or as to the amount of any tenders to be submitted.</w:t>
      </w: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tabs>
          <w:tab w:val="left" w:pos="6238"/>
        </w:tabs>
        <w:spacing w:after="120" w:before="120" w:lineRule="auto"/>
        <w:rPr>
          <w:rFonts w:ascii="Arial" w:cs="Arial" w:eastAsia="Arial" w:hAnsi="Arial"/>
          <w:color w:val="000000"/>
          <w:sz w:val="24"/>
          <w:szCs w:val="24"/>
        </w:rPr>
      </w:pPr>
      <w:bookmarkStart w:colFirst="0" w:colLast="0" w:name="_heading=h.tyjcwt" w:id="5"/>
      <w:bookmarkEnd w:id="5"/>
      <w:r w:rsidDel="00000000" w:rsidR="00000000" w:rsidRPr="00000000">
        <w:rPr>
          <w:rtl w:val="0"/>
        </w:rPr>
      </w:r>
    </w:p>
    <w:p w:rsidR="00000000" w:rsidDel="00000000" w:rsidP="00000000" w:rsidRDefault="00000000" w:rsidRPr="00000000" w14:paraId="00000054">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55">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56">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Who is responsible for the award</w:t>
      </w:r>
      <w:r w:rsidDel="00000000" w:rsidR="00000000" w:rsidRPr="00000000">
        <w:rPr>
          <w:rtl w:val="0"/>
        </w:rPr>
      </w:r>
    </w:p>
    <w:p w:rsidR="00000000" w:rsidDel="00000000" w:rsidP="00000000" w:rsidRDefault="00000000" w:rsidRPr="00000000" w14:paraId="00000057">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58">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59">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5A">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5B">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5C">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5D">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5E">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Call-Off Contract shall be formed with effect from the Call-Off Start Date stated in the Order Form.</w:t>
      </w:r>
    </w:p>
    <w:p w:rsidR="00000000" w:rsidDel="00000000" w:rsidP="00000000" w:rsidRDefault="00000000" w:rsidRPr="00000000" w14:paraId="0000005F">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60">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61">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62">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6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6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65">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6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6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6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69">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6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6B">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6C">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6D">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6E">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6F">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7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71">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7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7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3118"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pos="3119"/>
        </w:tabs>
        <w:spacing w:after="120" w:before="120" w:lineRule="auto"/>
        <w:ind w:left="3119" w:hanging="511.0000000000002"/>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w:t>
        <w:tab/>
      </w: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75">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Awarding and creating an Exempt Call-off Contract</w:t>
      </w:r>
      <w:r w:rsidDel="00000000" w:rsidR="00000000" w:rsidRPr="00000000">
        <w:rPr>
          <w:rtl w:val="0"/>
        </w:rPr>
      </w:r>
    </w:p>
    <w:p w:rsidR="00000000" w:rsidDel="00000000" w:rsidP="00000000" w:rsidRDefault="00000000" w:rsidRPr="00000000" w14:paraId="00000076">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77">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78">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79">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7A">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7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0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pos="1276"/>
        </w:tabs>
        <w:spacing w:after="120" w:before="120" w:lineRule="auto"/>
        <w:ind w:left="127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7D">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7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7F">
      <w:pPr>
        <w:widowControl w:val="1"/>
        <w:numPr>
          <w:ilvl w:val="0"/>
          <w:numId w:val="3"/>
        </w:numPr>
        <w:spacing w:after="200" w:line="276" w:lineRule="auto"/>
        <w:ind w:left="360" w:hanging="360"/>
        <w:rPr>
          <w:rFonts w:ascii="Arial" w:cs="Arial" w:eastAsia="Arial" w:hAnsi="Arial"/>
          <w:color w:val="000000"/>
        </w:rPr>
      </w:pPr>
      <w:r w:rsidDel="00000000" w:rsidR="00000000" w:rsidRPr="00000000">
        <w:rPr>
          <w:rFonts w:ascii="Arial" w:cs="Arial" w:eastAsia="Arial" w:hAnsi="Arial"/>
          <w:b w:val="1"/>
          <w:sz w:val="24"/>
          <w:szCs w:val="24"/>
          <w:rtl w:val="0"/>
        </w:rPr>
        <w:t xml:space="preserve">Non-Participation and Supplier Misconduct </w:t>
      </w:r>
      <w:r w:rsidDel="00000000" w:rsidR="00000000" w:rsidRPr="00000000">
        <w:rPr>
          <w:rtl w:val="0"/>
        </w:rPr>
      </w:r>
    </w:p>
    <w:p w:rsidR="00000000" w:rsidDel="00000000" w:rsidP="00000000" w:rsidRDefault="00000000" w:rsidRPr="00000000" w14:paraId="00000080">
      <w:pPr>
        <w:ind w:left="1134"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9.1    Where a Supplier fails to:</w:t>
      </w:r>
    </w:p>
    <w:p w:rsidR="00000000" w:rsidDel="00000000" w:rsidP="00000000" w:rsidRDefault="00000000" w:rsidRPr="00000000" w14:paraId="00000081">
      <w:pPr>
        <w:ind w:left="1701"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ind w:left="1701"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9.1.1 participate in any Further Competition Procedure for any 3 Month consecutive period; or</w:t>
      </w:r>
    </w:p>
    <w:p w:rsidR="00000000" w:rsidDel="00000000" w:rsidP="00000000" w:rsidRDefault="00000000" w:rsidRPr="00000000" w14:paraId="00000083">
      <w:pPr>
        <w:ind w:left="1701"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9.1.2 fails to notify CCS of their reasons for not participating or withdrawing from participating in any Further Competition Procedure; or</w:t>
      </w:r>
    </w:p>
    <w:p w:rsidR="00000000" w:rsidDel="00000000" w:rsidP="00000000" w:rsidRDefault="00000000" w:rsidRPr="00000000" w14:paraId="00000084">
      <w:pPr>
        <w:spacing w:after="240" w:before="240" w:lineRule="auto"/>
        <w:ind w:left="17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9.1.3 or is unable to accept, under Lot 1 only, any request from a Buyer to provide an Optional Specialism on 3 or more occasions in any 12 Month rolling period during the Contract Period, where either:</w:t>
      </w:r>
    </w:p>
    <w:p w:rsidR="00000000" w:rsidDel="00000000" w:rsidP="00000000" w:rsidRDefault="00000000" w:rsidRPr="00000000" w14:paraId="00000085">
      <w:pPr>
        <w:spacing w:after="240" w:before="240" w:lineRule="auto"/>
        <w:ind w:left="3260" w:hanging="700"/>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Supplier does not have adequate resources to properly service an Order or respond to a Further Competition Procedure because the required resources are engaged in servicing non-Framework Contract work or other non-Government work; or</w:t>
      </w:r>
    </w:p>
    <w:p w:rsidR="00000000" w:rsidDel="00000000" w:rsidP="00000000" w:rsidRDefault="00000000" w:rsidRPr="00000000" w14:paraId="00000086">
      <w:pPr>
        <w:spacing w:after="240" w:before="240" w:lineRule="auto"/>
        <w:ind w:left="3260" w:hanging="700"/>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Supplier has not re-organised or strengthened its capacity and resources within the time limit set by CCS (which shall be no more than 3 Months) where they do not have adequate resources to properly service the Order or respond to a Further Competition Procedure because the required resources are engaged in servicing existing Orders made under the Framework Contract or other work for Government; or</w:t>
      </w:r>
    </w:p>
    <w:p w:rsidR="00000000" w:rsidDel="00000000" w:rsidP="00000000" w:rsidRDefault="00000000" w:rsidRPr="00000000" w14:paraId="00000087">
      <w:pPr>
        <w:spacing w:after="240" w:before="240" w:lineRule="auto"/>
        <w:ind w:left="17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9.1.4 or is unable to accept any Mandatory Specialism, under Lot 1, Lot 2 and/or Lot 3, on 2 or more occasions within any 12 Month rolling period during the Contract Period, where either:</w:t>
      </w:r>
    </w:p>
    <w:p w:rsidR="00000000" w:rsidDel="00000000" w:rsidP="00000000" w:rsidRDefault="00000000" w:rsidRPr="00000000" w14:paraId="00000088">
      <w:pPr>
        <w:spacing w:after="240" w:before="240" w:lineRule="auto"/>
        <w:ind w:left="3260" w:hanging="700"/>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Supplier does not have adequate resources to properly service an Order or respond to a Further Competition Procedure because the required resources are engaged in servicing non-Framework Contract work or other non-Government work; or</w:t>
      </w:r>
    </w:p>
    <w:p w:rsidR="00000000" w:rsidDel="00000000" w:rsidP="00000000" w:rsidRDefault="00000000" w:rsidRPr="00000000" w14:paraId="00000089">
      <w:pPr>
        <w:spacing w:after="240" w:before="240" w:lineRule="auto"/>
        <w:ind w:left="3260" w:hanging="700"/>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Supplier has not re-organised or strengthened its capacity and resources within the time limit set by CCS (which shall be no more than 3 Months) where they do not have adequate resources to properly service the Order or respond to a Further Competition Procedure because the required resources are engaged in servicing existing Orders made under the Framework Contract or other work for Government,</w:t>
      </w:r>
    </w:p>
    <w:p w:rsidR="00000000" w:rsidDel="00000000" w:rsidP="00000000" w:rsidRDefault="00000000" w:rsidRPr="00000000" w14:paraId="0000008A">
      <w:pPr>
        <w:ind w:left="1701"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ind w:left="113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ind w:left="11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then CCS may suspend the Supplier’s ability to enter into any new Call-Off Contracts during the CCS stated period.  If this happens, the Supplier must still meet its obligations under any existing Call-Off Contracts that have already been signed and may enter into a new Statement of Works under it. </w:t>
      </w:r>
    </w:p>
    <w:p w:rsidR="00000000" w:rsidDel="00000000" w:rsidP="00000000" w:rsidRDefault="00000000" w:rsidRPr="00000000" w14:paraId="0000008D">
      <w:pPr>
        <w:ind w:left="113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ind w:left="1134"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9.2    Where a Supplier:</w:t>
      </w:r>
    </w:p>
    <w:p w:rsidR="00000000" w:rsidDel="00000000" w:rsidP="00000000" w:rsidRDefault="00000000" w:rsidRPr="00000000" w14:paraId="0000008F">
      <w:pPr>
        <w:ind w:left="1843" w:hanging="709"/>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ind w:left="18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9.2.1 falsely responds to a Further Competitive Procedure, for example, by responding “yes” to a “must have” question or requirement that it cannot fulfil; or</w:t>
      </w:r>
    </w:p>
    <w:p w:rsidR="00000000" w:rsidDel="00000000" w:rsidP="00000000" w:rsidRDefault="00000000" w:rsidRPr="00000000" w14:paraId="00000091">
      <w:pPr>
        <w:ind w:left="18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9.2.2 tries to renegotiate the terms of the Call-Off Contract following award;</w:t>
      </w:r>
    </w:p>
    <w:p w:rsidR="00000000" w:rsidDel="00000000" w:rsidP="00000000" w:rsidRDefault="00000000" w:rsidRPr="00000000" w14:paraId="00000092">
      <w:pPr>
        <w:ind w:left="1843" w:hanging="709"/>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ind w:left="18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(hereafter “</w:t>
      </w:r>
      <w:r w:rsidDel="00000000" w:rsidR="00000000" w:rsidRPr="00000000">
        <w:rPr>
          <w:rFonts w:ascii="Arial" w:cs="Arial" w:eastAsia="Arial" w:hAnsi="Arial"/>
          <w:b w:val="1"/>
          <w:sz w:val="24"/>
          <w:szCs w:val="24"/>
          <w:rtl w:val="0"/>
        </w:rPr>
        <w:t xml:space="preserve">Misconduct</w:t>
      </w:r>
      <w:r w:rsidDel="00000000" w:rsidR="00000000" w:rsidRPr="00000000">
        <w:rPr>
          <w:rFonts w:ascii="Arial" w:cs="Arial" w:eastAsia="Arial" w:hAnsi="Arial"/>
          <w:sz w:val="24"/>
          <w:szCs w:val="24"/>
          <w:rtl w:val="0"/>
        </w:rPr>
        <w:t xml:space="preserve">”) then:</w:t>
      </w:r>
    </w:p>
    <w:p w:rsidR="00000000" w:rsidDel="00000000" w:rsidP="00000000" w:rsidRDefault="00000000" w:rsidRPr="00000000" w14:paraId="00000094">
      <w:pPr>
        <w:ind w:left="1843" w:hanging="709"/>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ind w:left="2552"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 CCS may suspend (for any period) the Supplier’s ability to enter into any new Call-Off Contracts during this period, and a Buyer may exclude that Supplier from any Further Competition Procedures.  If this happens, the Supplier must still meet its obligations under any existing Call-Off Contacts that have already been signed and may enter into new Statements of Work under it.  </w:t>
      </w:r>
    </w:p>
    <w:p w:rsidR="00000000" w:rsidDel="00000000" w:rsidP="00000000" w:rsidRDefault="00000000" w:rsidRPr="00000000" w14:paraId="00000096">
      <w:pPr>
        <w:ind w:left="2552"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(b) CCS may terminate the Framework Contract it has with the Supplier, and a Buyer may terminate any Call-Off Contract it has with that Supplier.</w:t>
      </w:r>
    </w:p>
    <w:p w:rsidR="00000000" w:rsidDel="00000000" w:rsidP="00000000" w:rsidRDefault="00000000" w:rsidRPr="00000000" w14:paraId="0000009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A.1 Prospectuses</w:t>
      </w:r>
    </w:p>
    <w:p w:rsidR="00000000" w:rsidDel="00000000" w:rsidP="00000000" w:rsidRDefault="00000000" w:rsidRPr="00000000" w14:paraId="0000009A">
      <w:pPr>
        <w:keepNext w:val="1"/>
        <w:widowControl w:val="1"/>
        <w:numPr>
          <w:ilvl w:val="0"/>
          <w:numId w:val="1"/>
        </w:numPr>
        <w:spacing w:after="120" w:before="120" w:lineRule="auto"/>
        <w:ind w:left="128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develop and maintain throughout the Framework Contract Period a Prospectus in the form set out in the following Prospectus guidance, as may be amended by CCS from time to time. Reference to this Prospectus may be used as part of the Call-Off Award Procedure: </w:t>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jc w:val="center"/>
        <w:rPr>
          <w:rFonts w:ascii="Arial" w:cs="Arial" w:eastAsia="Arial" w:hAnsi="Arial"/>
          <w:b w:val="1"/>
          <w:color w:val="000000"/>
          <w:sz w:val="36"/>
          <w:szCs w:val="36"/>
        </w:rPr>
      </w:pPr>
      <w:bookmarkStart w:colFirst="0" w:colLast="0" w:name="_heading=h.lnxbz9" w:id="12"/>
      <w:bookmarkEnd w:id="12"/>
      <w:r w:rsidDel="00000000" w:rsidR="00000000" w:rsidRPr="00000000">
        <w:rPr>
          <w:rFonts w:ascii="Arial" w:cs="Arial" w:eastAsia="Arial" w:hAnsi="Arial"/>
          <w:b w:val="1"/>
          <w:color w:val="000000"/>
          <w:sz w:val="36"/>
          <w:szCs w:val="36"/>
        </w:rPr>
        <w:pict>
          <v:shape id="_x0000_i1026" style="width:76.5pt;height:49.5pt" o:ole="" type="#_x0000_t75">
            <v:imagedata r:id="rId1" o:title=""/>
          </v:shape>
          <o:OLEObject DrawAspect="Icon" r:id="rId2" ObjectID="_1707644512" ProgID="Word.Document.12" ShapeID="_x0000_i1026" Type="Embed">
            <o:FieldCodes>\s</o:FieldCodes>
          </o:OLEObject>
        </w:pict>
      </w:r>
      <w:r w:rsidDel="00000000" w:rsidR="00000000" w:rsidRPr="00000000">
        <w:rPr>
          <w:rtl w:val="0"/>
        </w:rPr>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A.2 Capability Matri</w:t>
      </w:r>
      <w:r w:rsidDel="00000000" w:rsidR="00000000" w:rsidRPr="00000000">
        <w:rPr>
          <w:rFonts w:ascii="Arial" w:cs="Arial" w:eastAsia="Arial" w:hAnsi="Arial"/>
          <w:b w:val="1"/>
          <w:sz w:val="36"/>
          <w:szCs w:val="36"/>
          <w:rtl w:val="0"/>
        </w:rPr>
        <w:t xml:space="preserve">ces</w:t>
      </w: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Pr>
        <w:pict>
          <v:shape id="_x0000_i1025" style="width:76.5pt;height:49.5pt" o:ole="" type="#_x0000_t75">
            <v:imagedata r:id="rId3" o:title=""/>
          </v:shape>
          <o:OLEObject DrawAspect="Icon" r:id="rId4" ObjectID="_1707644513" ProgID="Excel.Sheet.12" ShapeID="_x0000_i1025" Type="Embed"/>
        </w:pict>
      </w:r>
      <w:r w:rsidDel="00000000" w:rsidR="00000000" w:rsidRPr="00000000">
        <w:rPr>
          <w:rtl w:val="0"/>
        </w:rPr>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A2">
      <w:pPr>
        <w:widowControl w:val="1"/>
        <w:numPr>
          <w:ilvl w:val="0"/>
          <w:numId w:val="2"/>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A3">
      <w:pPr>
        <w:widowControl w:val="1"/>
        <w:numPr>
          <w:ilvl w:val="0"/>
          <w:numId w:val="2"/>
        </w:numPr>
        <w:pBdr>
          <w:top w:space="0" w:sz="0" w:val="nil"/>
          <w:left w:space="0" w:sz="0" w:val="nil"/>
          <w:bottom w:space="0" w:sz="0" w:val="nil"/>
          <w:right w:space="0" w:sz="0" w:val="nil"/>
          <w:between w:space="0" w:sz="0" w:val="nil"/>
        </w:pBdr>
        <w:tabs>
          <w:tab w:val="left" w:pos="3054"/>
        </w:tabs>
        <w:spacing w:after="120" w:before="120" w:lineRule="auto"/>
        <w:ind w:left="128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w:t>
      </w:r>
      <w:r w:rsidDel="00000000" w:rsidR="00000000" w:rsidRPr="00000000">
        <w:rPr>
          <w:rFonts w:ascii="Arial" w:cs="Arial" w:eastAsia="Arial" w:hAnsi="Arial"/>
          <w:sz w:val="24"/>
          <w:szCs w:val="24"/>
          <w:rtl w:val="0"/>
        </w:rPr>
        <w:t xml:space="preserve">of the most</w:t>
      </w:r>
      <w:r w:rsidDel="00000000" w:rsidR="00000000" w:rsidRPr="00000000">
        <w:rPr>
          <w:rFonts w:ascii="Arial" w:cs="Arial" w:eastAsia="Arial" w:hAnsi="Arial"/>
          <w:color w:val="000000"/>
          <w:sz w:val="24"/>
          <w:szCs w:val="24"/>
          <w:rtl w:val="0"/>
        </w:rPr>
        <w:t xml:space="preserve"> economically advantageous tender ("MEAT").</w:t>
      </w:r>
    </w:p>
    <w:p w:rsidR="00000000" w:rsidDel="00000000" w:rsidP="00000000" w:rsidRDefault="00000000" w:rsidRPr="00000000" w14:paraId="000000A4">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5">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Direct award criteria</w:t>
      </w:r>
    </w:p>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tabs>
          <w:tab w:val="left" w:pos="0"/>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ascertain who could provide the Buyer’s requirements, the Buyer will use the down-select, identifying those elements of its requirements set out in the Capability Matrix and available Jurisdictions, the Prospectus and Expressions of Interest.  This may result in a direct award being made by the Buyer to the Supplier.</w:t>
      </w:r>
    </w:p>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 Contract.</w:t>
      </w:r>
    </w:p>
    <w:tbl>
      <w:tblPr>
        <w:tblStyle w:val="Table2"/>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A8">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A9">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blHeader w:val="0"/>
        </w:trPr>
        <w:tc>
          <w:tcPr>
            <w:tcBorders>
              <w:bottom w:color="000000" w:space="0" w:sz="4" w:val="single"/>
            </w:tcBorders>
          </w:tcPr>
          <w:p w:rsidR="00000000" w:rsidDel="00000000" w:rsidP="00000000" w:rsidRDefault="00000000" w:rsidRPr="00000000" w14:paraId="000000AA">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 (life cycle costs, cost effectiveness &amp; price; price and running costs)</w:t>
            </w:r>
          </w:p>
        </w:tc>
        <w:tc>
          <w:tcPr>
            <w:tcBorders>
              <w:bottom w:color="000000" w:space="0" w:sz="4" w:val="single"/>
            </w:tcBorders>
          </w:tcPr>
          <w:p w:rsidR="00000000" w:rsidDel="00000000" w:rsidP="00000000" w:rsidRDefault="00000000" w:rsidRPr="00000000" w14:paraId="000000AB">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10-9</w:t>
            </w:r>
            <w:r w:rsidDel="00000000" w:rsidR="00000000" w:rsidRPr="00000000">
              <w:rPr>
                <w:rFonts w:ascii="Arial" w:cs="Arial" w:eastAsia="Arial" w:hAnsi="Arial"/>
                <w:sz w:val="24"/>
                <w:szCs w:val="24"/>
                <w:rtl w:val="0"/>
              </w:rPr>
              <w:t xml:space="preserve">0%</w:t>
            </w:r>
            <w:r w:rsidDel="00000000" w:rsidR="00000000" w:rsidRPr="00000000">
              <w:rPr>
                <w:rFonts w:ascii="Arial" w:cs="Arial" w:eastAsia="Arial" w:hAnsi="Arial"/>
                <w:color w:val="000000"/>
                <w:sz w:val="24"/>
                <w:szCs w:val="24"/>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Quality (including delivery time, sales service, good value, accessories, service fitness for purpose)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10-90</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AE">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Fonts w:ascii="Arial" w:cs="Arial" w:eastAsia="Arial" w:hAnsi="Arial"/>
          <w:i w:val="1"/>
          <w:color w:val="222222"/>
          <w:highlight w:val="white"/>
          <w:rtl w:val="0"/>
        </w:rPr>
        <w:t xml:space="preserve">In keeping with PPN 06/20, where applicable, the Buyer should agree with the Supplier what they can and will do to help work towards the social value priorities set out in the Framework Schedule 1 (Specification).  Buyers should discuss with the Supplier what would be an appropriate and proportionate commitment, and this commitment will form part of the Call-off Contract.  Buyers would then evaluate the Supplier’s performance against this commitment as part of ongoing contract management.</w:t>
      </w:r>
      <w:r w:rsidDel="00000000" w:rsidR="00000000" w:rsidRPr="00000000">
        <w:rPr>
          <w:rtl w:val="0"/>
        </w:rPr>
      </w:r>
    </w:p>
    <w:p w:rsidR="00000000" w:rsidDel="00000000" w:rsidP="00000000" w:rsidRDefault="00000000" w:rsidRPr="00000000" w14:paraId="000000B0">
      <w:pPr>
        <w:keepNext w:val="1"/>
        <w:widowControl w:val="1"/>
        <w:pBdr>
          <w:top w:space="0" w:sz="0" w:val="nil"/>
          <w:left w:space="0" w:sz="0" w:val="nil"/>
          <w:bottom w:space="0" w:sz="0" w:val="nil"/>
          <w:right w:space="0" w:sz="0" w:val="nil"/>
          <w:between w:space="0" w:sz="0" w:val="nil"/>
        </w:pBdr>
        <w:spacing w:after="240" w:before="24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B: Further Competition Award Criteria</w:t>
      </w:r>
    </w:p>
    <w:p w:rsidR="00000000" w:rsidDel="00000000" w:rsidP="00000000" w:rsidRDefault="00000000" w:rsidRPr="00000000" w14:paraId="000000B1">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ascertain who could provide the Buyer’s requirements, the Buyer will use the down-select, identifying those elements of its requirements set out in the Capability Matrix and available Jurisdictions, the Prospectus, Expressions of Interest and/or conference call.  Where there are 2 or more Suppliers who could provide the Buyer’s requirements, a Further Competition Procedure shall be undertaken.</w:t>
      </w:r>
    </w:p>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B4">
            <w:pPr>
              <w:widowControl w:val="1"/>
              <w:spacing w:after="200" w:before="120" w:line="276" w:lineRule="auto"/>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Relative weighting percentage </w:t>
            </w:r>
            <w:r w:rsidDel="00000000" w:rsidR="00000000" w:rsidRPr="00000000">
              <w:rPr>
                <w:rtl w:val="0"/>
              </w:rPr>
            </w:r>
          </w:p>
        </w:tc>
      </w:tr>
      <w:tr>
        <w:trPr>
          <w:cantSplit w:val="0"/>
          <w:tblHeader w:val="0"/>
        </w:trPr>
        <w:tc>
          <w:tcPr/>
          <w:p w:rsidR="00000000" w:rsidDel="00000000" w:rsidP="00000000" w:rsidRDefault="00000000" w:rsidRPr="00000000" w14:paraId="000000B5">
            <w:pPr>
              <w:keepNext w:val="1"/>
              <w:widowControl w:val="1"/>
              <w:spacing w:after="240" w:before="240" w:lineRule="auto"/>
              <w:rPr>
                <w:rFonts w:ascii="Arial" w:cs="Arial" w:eastAsia="Arial" w:hAnsi="Arial"/>
                <w:sz w:val="24"/>
                <w:szCs w:val="24"/>
              </w:rPr>
            </w:pPr>
            <w:r w:rsidDel="00000000" w:rsidR="00000000" w:rsidRPr="00000000">
              <w:rPr>
                <w:rFonts w:ascii="Arial" w:cs="Arial" w:eastAsia="Arial" w:hAnsi="Arial"/>
                <w:sz w:val="24"/>
                <w:szCs w:val="24"/>
                <w:u w:val="single"/>
                <w:rtl w:val="0"/>
              </w:rPr>
              <w:t xml:space="preserve">Quality </w:t>
            </w:r>
            <w:r w:rsidDel="00000000" w:rsidR="00000000" w:rsidRPr="00000000">
              <w:rPr>
                <w:rFonts w:ascii="Arial" w:cs="Arial" w:eastAsia="Arial" w:hAnsi="Arial"/>
                <w:sz w:val="24"/>
                <w:szCs w:val="24"/>
                <w:rtl w:val="0"/>
              </w:rPr>
              <w:t xml:space="preserve">- Which may include but is not limited to:</w:t>
            </w:r>
          </w:p>
          <w:p w:rsidR="00000000" w:rsidDel="00000000" w:rsidP="00000000" w:rsidRDefault="00000000" w:rsidRPr="00000000" w14:paraId="000000B6">
            <w:pPr>
              <w:keepNext w:val="1"/>
              <w:widowControl w:val="1"/>
              <w:spacing w:after="240" w:before="240" w:lineRule="auto"/>
              <w:ind w:left="900" w:hanging="30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Added Value</w:t>
            </w:r>
          </w:p>
          <w:p w:rsidR="00000000" w:rsidDel="00000000" w:rsidP="00000000" w:rsidRDefault="00000000" w:rsidRPr="00000000" w14:paraId="000000B7">
            <w:pPr>
              <w:keepNext w:val="1"/>
              <w:widowControl w:val="1"/>
              <w:spacing w:after="240" w:before="240" w:lineRule="auto"/>
              <w:ind w:left="900" w:hanging="30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Innovation</w:t>
            </w:r>
          </w:p>
          <w:p w:rsidR="00000000" w:rsidDel="00000000" w:rsidP="00000000" w:rsidRDefault="00000000" w:rsidRPr="00000000" w14:paraId="000000B8">
            <w:pPr>
              <w:keepNext w:val="1"/>
              <w:widowControl w:val="1"/>
              <w:spacing w:after="240" w:before="240" w:lineRule="auto"/>
              <w:ind w:left="900" w:hanging="30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Social Value</w:t>
            </w:r>
          </w:p>
          <w:p w:rsidR="00000000" w:rsidDel="00000000" w:rsidP="00000000" w:rsidRDefault="00000000" w:rsidRPr="00000000" w14:paraId="000000B9">
            <w:pPr>
              <w:keepNext w:val="1"/>
              <w:widowControl w:val="1"/>
              <w:spacing w:after="240" w:before="240" w:lineRule="auto"/>
              <w:ind w:left="900" w:hanging="30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Approach To Delivery Of The Services</w:t>
            </w:r>
          </w:p>
          <w:p w:rsidR="00000000" w:rsidDel="00000000" w:rsidP="00000000" w:rsidRDefault="00000000" w:rsidRPr="00000000" w14:paraId="000000BA">
            <w:pPr>
              <w:keepNext w:val="1"/>
              <w:widowControl w:val="1"/>
              <w:spacing w:after="240" w:before="240" w:lineRule="auto"/>
              <w:ind w:left="900" w:hanging="30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Implementation</w:t>
            </w:r>
          </w:p>
          <w:p w:rsidR="00000000" w:rsidDel="00000000" w:rsidP="00000000" w:rsidRDefault="00000000" w:rsidRPr="00000000" w14:paraId="000000BB">
            <w:pPr>
              <w:keepNext w:val="1"/>
              <w:widowControl w:val="1"/>
              <w:spacing w:after="240" w:before="240" w:lineRule="auto"/>
              <w:ind w:left="900" w:hanging="30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Use Of Supply Chain / Partners</w:t>
            </w:r>
          </w:p>
          <w:p w:rsidR="00000000" w:rsidDel="00000000" w:rsidP="00000000" w:rsidRDefault="00000000" w:rsidRPr="00000000" w14:paraId="000000BC">
            <w:pPr>
              <w:keepNext w:val="1"/>
              <w:widowControl w:val="1"/>
              <w:pBdr>
                <w:top w:space="0" w:sz="0" w:val="nil"/>
                <w:left w:space="0" w:sz="0" w:val="nil"/>
                <w:bottom w:space="0" w:sz="0" w:val="nil"/>
                <w:right w:space="0" w:sz="0" w:val="nil"/>
                <w:between w:space="0" w:sz="0" w:val="nil"/>
              </w:pBdr>
              <w:spacing w:after="120" w:before="120" w:lineRule="auto"/>
              <w:ind w:left="142"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BD">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10-90%</w:t>
            </w:r>
            <w:r w:rsidDel="00000000" w:rsidR="00000000" w:rsidRPr="00000000">
              <w:rPr>
                <w:rtl w:val="0"/>
              </w:rPr>
            </w:r>
          </w:p>
        </w:tc>
      </w:tr>
      <w:tr>
        <w:trPr>
          <w:cantSplit w:val="0"/>
          <w:tblHeader w:val="0"/>
        </w:trPr>
        <w:tc>
          <w:tcPr/>
          <w:p w:rsidR="00000000" w:rsidDel="00000000" w:rsidP="00000000" w:rsidRDefault="00000000" w:rsidRPr="00000000" w14:paraId="000000B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Price</w:t>
            </w:r>
            <w:r w:rsidDel="00000000" w:rsidR="00000000" w:rsidRPr="00000000">
              <w:rPr>
                <w:rtl w:val="0"/>
              </w:rPr>
            </w:r>
          </w:p>
        </w:tc>
        <w:tc>
          <w:tcPr/>
          <w:p w:rsidR="00000000" w:rsidDel="00000000" w:rsidP="00000000" w:rsidRDefault="00000000" w:rsidRPr="00000000" w14:paraId="000000B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10-90%</w:t>
            </w:r>
            <w:r w:rsidDel="00000000" w:rsidR="00000000" w:rsidRPr="00000000">
              <w:rPr>
                <w:rtl w:val="0"/>
              </w:rPr>
            </w:r>
          </w:p>
        </w:tc>
      </w:tr>
    </w:tbl>
    <w:p w:rsidR="00000000" w:rsidDel="00000000" w:rsidP="00000000" w:rsidRDefault="00000000" w:rsidRPr="00000000" w14:paraId="000000C0">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8">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C9">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CA">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B">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 Framework</w:t>
      <w:tab/>
      <w:t xml:space="preserve">                                           </w:t>
    </w:r>
  </w:p>
  <w:p w:rsidR="00000000" w:rsidDel="00000000" w:rsidP="00000000" w:rsidRDefault="00000000" w:rsidRPr="00000000" w14:paraId="000000CD">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E">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3"/>
    <w:bookmarkEnd w:id="13"/>
    <w:r w:rsidDel="00000000" w:rsidR="00000000" w:rsidRPr="00000000">
      <w:rPr>
        <w:rFonts w:ascii="Arial" w:cs="Arial" w:eastAsia="Arial" w:hAnsi="Arial"/>
        <w:sz w:val="20"/>
        <w:szCs w:val="20"/>
        <w:rtl w:val="0"/>
      </w:rPr>
      <w:t xml:space="preserve">Model Version: v3.3</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1">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C2">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3">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4">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C5">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C6">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numbering" w:styleId="111111">
    <w:name w:val="Outline List 2"/>
    <w:basedOn w:val="NoList"/>
    <w:uiPriority w:val="99"/>
    <w:unhideWhenUsed w:val="1"/>
    <w:rsid w:val="000A07C4"/>
  </w:style>
  <w:style w:type="paragraph" w:styleId="ListParagraph">
    <w:name w:val="List Paragraph"/>
    <w:basedOn w:val="Normal"/>
    <w:link w:val="ListParagraphChar"/>
    <w:uiPriority w:val="34"/>
    <w:qFormat w:val="1"/>
    <w:rsid w:val="000A07C4"/>
    <w:pPr>
      <w:widowControl w:val="1"/>
      <w:spacing w:after="200" w:line="276" w:lineRule="auto"/>
      <w:ind w:left="720"/>
      <w:contextualSpacing w:val="1"/>
    </w:pPr>
    <w:rPr>
      <w:rFonts w:asciiTheme="minorHAnsi" w:cstheme="minorBidi" w:eastAsiaTheme="minorEastAsia" w:hAnsiTheme="minorHAnsi"/>
    </w:rPr>
  </w:style>
  <w:style w:type="character" w:styleId="ListParagraphChar" w:customStyle="1">
    <w:name w:val="List Paragraph Char"/>
    <w:basedOn w:val="DefaultParagraphFont"/>
    <w:link w:val="ListParagraph"/>
    <w:uiPriority w:val="34"/>
    <w:rsid w:val="000A07C4"/>
    <w:rPr>
      <w:rFonts w:asciiTheme="minorHAnsi" w:cstheme="minorBidi" w:eastAsiaTheme="minorEastAsia" w:hAnsiTheme="minorHAnsi"/>
    </w:rPr>
  </w:style>
  <w:style w:type="character" w:styleId="Heading6Char" w:customStyle="1">
    <w:name w:val="Heading 6 Char"/>
    <w:link w:val="Heading6"/>
    <w:locked w:val="1"/>
    <w:rsid w:val="00011E77"/>
    <w:rPr>
      <w:b w:val="1"/>
      <w:sz w:val="20"/>
      <w:szCs w:val="20"/>
    </w:rPr>
  </w:style>
  <w:style w:type="paragraph" w:styleId="GPsDefinition" w:customStyle="1">
    <w:name w:val="GPs Definition"/>
    <w:basedOn w:val="Normal"/>
    <w:qFormat w:val="1"/>
    <w:rsid w:val="001F7DD3"/>
    <w:pPr>
      <w:widowControl w:val="1"/>
      <w:tabs>
        <w:tab w:val="left" w:pos="175"/>
      </w:tabs>
      <w:overflowPunct w:val="0"/>
      <w:autoSpaceDE w:val="0"/>
      <w:autoSpaceDN w:val="0"/>
      <w:adjustRightInd w:val="0"/>
      <w:spacing w:after="120"/>
      <w:jc w:val="both"/>
      <w:textAlignment w:val="baseline"/>
    </w:pPr>
    <w:rPr>
      <w:rFonts w:cs="Arial" w:eastAsia="Times New Roman"/>
      <w:lang w:eastAsia="en-US"/>
    </w:rPr>
  </w:style>
  <w:style w:type="table" w:styleId="a6" w:customStyle="1">
    <w:basedOn w:val="TableNormal"/>
    <w:tblPr>
      <w:tblStyleRowBandSize w:val="1"/>
      <w:tblStyleColBandSize w:val="1"/>
      <w:tblCellMar>
        <w:top w:w="100.0" w:type="dxa"/>
        <w:left w:w="115.0" w:type="dxa"/>
        <w:bottom w:w="100.0" w:type="dxa"/>
        <w:right w:w="115.0" w:type="dxa"/>
      </w:tblCellMar>
    </w:tblPr>
  </w:style>
  <w:style w:type="table" w:styleId="a7" w:customStyle="1">
    <w:basedOn w:val="TableNormal"/>
    <w:tblPr>
      <w:tblStyleRowBandSize w:val="1"/>
      <w:tblStyleColBandSize w:val="1"/>
      <w:tblCellMar>
        <w:top w:w="100.0" w:type="dxa"/>
        <w:left w:w="115.0" w:type="dxa"/>
        <w:bottom w:w="100.0" w:type="dxa"/>
        <w:right w:w="115.0" w:type="dxa"/>
      </w:tblCellMar>
    </w:tblPr>
  </w:style>
  <w:style w:type="table" w:styleId="a8" w:customStyle="1">
    <w:basedOn w:val="TableNormal"/>
    <w:tblPr>
      <w:tblStyleRowBandSize w:val="1"/>
      <w:tblStyleColBandSize w:val="1"/>
      <w:tblCellMar>
        <w:top w:w="100.0" w:type="dxa"/>
        <w:left w:w="115.0" w:type="dxa"/>
        <w:bottom w:w="100.0" w:type="dxa"/>
        <w:right w:w="115.0" w:type="dxa"/>
      </w:tblCellMar>
    </w:tblPr>
  </w:style>
  <w:style w:type="table" w:styleId="a9" w:customStyle="1">
    <w:basedOn w:val="TableNormal"/>
    <w:tblPr>
      <w:tblStyleRowBandSize w:val="1"/>
      <w:tblStyleColBandSize w:val="1"/>
      <w:tblCellMar>
        <w:top w:w="100.0" w:type="dxa"/>
        <w:left w:w="115.0" w:type="dxa"/>
        <w:bottom w:w="100.0" w:type="dxa"/>
        <w:right w:w="115.0" w:type="dxa"/>
      </w:tblCellMar>
    </w:tblPr>
  </w:style>
  <w:style w:type="table" w:styleId="aa" w:customStyle="1">
    <w:basedOn w:val="TableNormal"/>
    <w:tblPr>
      <w:tblStyleRowBandSize w:val="1"/>
      <w:tblStyleColBandSize w:val="1"/>
      <w:tblCellMar>
        <w:top w:w="100.0" w:type="dxa"/>
        <w:left w:w="115.0" w:type="dxa"/>
        <w:bottom w:w="100.0" w:type="dxa"/>
        <w:right w:w="115.0" w:type="dxa"/>
      </w:tblCellMar>
    </w:tblPr>
  </w:style>
  <w:style w:type="table" w:styleId="ab" w:customStyle="1">
    <w:basedOn w:val="TableNormal"/>
    <w:tblPr>
      <w:tblStyleRowBandSize w:val="1"/>
      <w:tblStyleColBandSize w:val="1"/>
      <w:tblCellMar>
        <w:top w:w="100.0" w:type="dxa"/>
        <w:left w:w="115.0" w:type="dxa"/>
        <w:bottom w:w="100.0" w:type="dxa"/>
        <w:right w:w="115.0" w:type="dxa"/>
      </w:tblCellMar>
    </w:tblPr>
  </w:style>
  <w:style w:type="table" w:styleId="ac" w:customStyle="1">
    <w:basedOn w:val="TableNormal"/>
    <w:tblPr>
      <w:tblStyleRowBandSize w:val="1"/>
      <w:tblStyleColBandSize w:val="1"/>
      <w:tblCellMar>
        <w:top w:w="100.0" w:type="dxa"/>
        <w:left w:w="115.0" w:type="dxa"/>
        <w:bottom w:w="100.0" w:type="dxa"/>
        <w:right w:w="115.0" w:type="dxa"/>
      </w:tblCellMar>
    </w:tblPr>
  </w:style>
  <w:style w:type="table" w:styleId="ad" w:customStyle="1">
    <w:basedOn w:val="TableNormal"/>
    <w:tblPr>
      <w:tblStyleRowBandSize w:val="1"/>
      <w:tblStyleColBandSize w:val="1"/>
      <w:tblCellMar>
        <w:top w:w="100.0" w:type="dxa"/>
        <w:left w:w="115.0" w:type="dxa"/>
        <w:bottom w:w="100.0" w:type="dxa"/>
        <w:right w:w="115.0" w:type="dxa"/>
      </w:tblCellMar>
    </w:tblPr>
  </w:style>
  <w:style w:type="table" w:styleId="ae" w:customStyle="1">
    <w:basedOn w:val="TableNormal"/>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15.0" w:type="dxa"/>
        <w:bottom w:w="100.0" w:type="dxa"/>
        <w:right w:w="115.0" w:type="dxa"/>
      </w:tblCellMar>
    </w:tblPr>
  </w:style>
  <w:style w:type="table" w:styleId="Table2">
    <w:basedOn w:val="TableNormal"/>
    <w:tblPr>
      <w:tblStyleRowBandSize w:val="1"/>
      <w:tblStyleColBandSize w:val="1"/>
      <w:tblCellMar>
        <w:top w:w="100.0" w:type="dxa"/>
        <w:left w:w="115.0" w:type="dxa"/>
        <w:bottom w:w="100.0" w:type="dxa"/>
        <w:right w:w="115.0" w:type="dxa"/>
      </w:tblCellMar>
    </w:tblPr>
  </w:style>
  <w:style w:type="table" w:styleId="Table3">
    <w:basedOn w:val="TableNormal"/>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customXml" Target="../customXML/item1.xm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package" Target="embeddings/Microsoft_Office_Word_Document1.docx"/><Relationship Id="rId3" Type="http://schemas.openxmlformats.org/officeDocument/2006/relationships/image" Target="media/image2.emf"/><Relationship Id="rId4" Type="http://schemas.openxmlformats.org/officeDocument/2006/relationships/package" Target="embeddings/Microsoft_Excel_Sheet1.xlsx"/><Relationship Id="rId9" Type="http://schemas.openxmlformats.org/officeDocument/2006/relationships/styles" Target="styles.xm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ettings" Target="settings.xml"/><Relationship Id="rId7" Type="http://schemas.openxmlformats.org/officeDocument/2006/relationships/fontTable" Target="fontTable.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5"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53qAwgiAUVYl3jpYmQCx1ajwCg==">AMUW2mW3P5Ic9iIQVqRaBGNKW4J6pDjdJUmHHcWaXEuXoEbf5yOrcoiVlsnKUBYbQyBdoa0MxY5taGWEs2ygka/X+gAsri/QOs7fkIh6YUYcSQGEJ/VTl1m7e1FBP8MuzYwNT4jJ0lmrtTNLduYyuEDCSPkrpmSiVPpeq6eZPO2jzA/yaBLXEDk1C24iVjs9FLRrbTqNJgYOdn9Bf90Ns7/wTZliSLTQnWIcLYCL2txOlux/hdqtbYEpVX8kT3YqIkyqS5cruz9pm1+BK+W3PKA12RKmUlKnsf7Sxxza4zzN+sZshJGpI37Rb3h2eynl9d3n5RrmuU2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2022-02-28T17:16:00Z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